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ein Leerraum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SV Gr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Wei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ß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Wittenberg-Piesteritz e. V.</w:t>
      </w:r>
    </w:p>
    <w:p>
      <w:pPr>
        <w:pStyle w:val="Kein Leerraum"/>
        <w:rPr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Gesch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ftsstelle:</w:t>
        <w:tab/>
        <w:tab/>
        <w:tab/>
        <w:tab/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 Hafen 1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06886 Lutherstadt Wittenberg</w:t>
        <w:tab/>
      </w:r>
    </w:p>
    <w:p>
      <w:pPr>
        <w:pStyle w:val="Kein Leerraum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Tel./Fax: 03491 610736</w:t>
        <w:tab/>
        <w:tab/>
        <w:tab/>
        <w:t>Email:</w:t>
        <w:tab/>
      </w:r>
      <w:r>
        <w:rPr>
          <w:rStyle w:val="Hyperlink.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instrText xml:space="preserve"> HYPERLINK "mailto:gruenweiss.wittenberg@gmx.de"</w:instrText>
      </w:r>
      <w:r>
        <w:rPr>
          <w:rStyle w:val="Hyperlink.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gruenweiss.wittenberg@gmx.de</w:t>
      </w:r>
      <w:r>
        <w:rPr>
          <w:lang w:val="en-US"/>
        </w:rPr>
        <w:fldChar w:fldCharType="end" w:fldLock="0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  <w:tab/>
      </w: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Bank:    Sparkasse Wittenberg</w:t>
        <w:tab/>
        <w:tab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IBAN: DE52 8055 0101 0000 0040 57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Standard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</w:t>
      </w:r>
    </w:p>
    <w:p>
      <w:pPr>
        <w:pStyle w:val="Kein Leerraum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Verwaltungs- und Reisekostenordnung</w:t>
      </w: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Gesamtvorstand erl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sst auf der Grundlage des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19 der Satzung des Sportvereins in der Fassung vom 12.05.2009 eine Verwaltungs- und Reisekostenordnung, die die belegten Auslagen und Aufwandsentsch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digungen gem.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22 Abs. 2 dieser Satzung regelt.</w:t>
      </w: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Zahlung pauschaler Aufwandsentsch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digungen beinhaltet den tats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chlichen Aufwandsersatz als auch eine 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Arbeits- und Zeitaufwand.</w:t>
      </w: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tungen an Personen, die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Verein 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 sind (z. B. B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rokraft, Platzwart) sind zul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ssig, wenn sie durch den Gesamtvorstand beschlossen wurden. Die gezahlte 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 darf dar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hinaus nicht unangemessen hoch sein. Der Nachweis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tung kann z. B.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Aufgabenbeschreibung, einen Vertrag oder einer sonstigen schriftlichen Vereinbarung erfolgen, der auf Verlangen dem  Finanzamt vorzulegen ist.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Ersatz tats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chlich entstandener Auslagen (zum Beispiel Reisekosten,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bernachtungskosten, B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romaterial, Telefonkosten) ist auch ohne entsprechende Regelung in der Satzung zul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ssig. Die Zahlungen d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rfen nicht unangemessen hoch sein. Der Ersatz von Reisekosten ist bis zu den steuerfreien 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Pauschal- und H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chstbetr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 in der Regel nicht zu beanstanden.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Nachweise sind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Aufwandsersatz in angemessenem Umfang zu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Satzungsgem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erlaubte, aber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berh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hte Zahlungen gef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hrden die Anerkennung der Gemeinn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tzigkeit.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Grunds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tzlich werden vom Verein nur Reisekosten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Fahrten zu Mannschaftsspielen, die durch den Spielbetrieb veranlasst sind,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Wettk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mpfe,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Trainingslager und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Lehrg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 mitfinanziert.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Vereinsvorstand ist berechtigt, bei Vorliegen au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ergew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hnlicher Umst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 (z. B. Auslandsreisen) Ausnahmen bez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dieser Einschr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nkungen zu beschlie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Alle Vereinsmitglieder sind verpflichtet, die dabei entstehenden Reisekosten so gering wie 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zu halten.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Anspruch auf Erstattung besteht nicht. Erstattungen k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nur im Rahmen der finanziellen 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glichkeiten der Abteilungen des Vereins geleistet werden. Die Ausgaben 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im Haushaltsplan, der durch die Mitgliederversammlung beschlossen wurde, ber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cksichtigt werden.   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Fahrgeldentsch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digungen und Reisekostenverg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tungen durch den Verein erfolgen auf der Grundlage der allgemeinen Vereinsrichtlinien.</w:t>
      </w: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Folgende Fahrtkosten werden auf Nachweis vom Verein erstattet:</w:t>
      </w:r>
    </w:p>
    <w:p>
      <w:pPr>
        <w:pStyle w:val="Kein Leerraum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ffentliche Verkehrsmittel</w:t>
      </w:r>
    </w:p>
    <w:p>
      <w:pPr>
        <w:pStyle w:val="Kein Leerraum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Bundesbahn 2. Klasse zzgl. Zuschl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</w:t>
      </w:r>
    </w:p>
    <w:p>
      <w:pPr>
        <w:pStyle w:val="Kein Leerraum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Fahrten mit Leihfahrzeugen von Dritten (Rechnung und Tankquittungen)</w:t>
      </w:r>
    </w:p>
    <w:p>
      <w:pPr>
        <w:pStyle w:val="Kein Leerraum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Fahrten mit Vereinsfahrzeugen (Tankquittungen)</w:t>
      </w:r>
    </w:p>
    <w:p>
      <w:pPr>
        <w:pStyle w:val="Kein Leerraum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de-DE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Privat-PKW pro gefahrener Kilometer nach folgenden gestaffelten Kilometersatz :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bis 200 km    (Gesamtstrecke)</w:t>
        <w:tab/>
        <w:tab/>
        <w:t xml:space="preserve">0,28 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/km  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bis 400 km</w:t>
        <w:tab/>
        <w:t xml:space="preserve"> (Gesamtstrecke)</w:t>
        <w:tab/>
        <w:tab/>
        <w:t xml:space="preserve">0,26 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/km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bis 600 km</w:t>
        <w:tab/>
        <w:t xml:space="preserve"> (Gesamtstrecke)</w:t>
        <w:tab/>
        <w:tab/>
        <w:t xml:space="preserve">0,24 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/km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bis 800 km</w:t>
        <w:tab/>
        <w:t xml:space="preserve"> (Gesamtstrecke)</w:t>
        <w:tab/>
        <w:tab/>
        <w:t xml:space="preserve">0,20 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/km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 800 km wird nur noch gegen Beleg abgerechnet.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jede weitere mitgenommene Person werden 0,02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/km 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tet.</w:t>
      </w:r>
    </w:p>
    <w:p>
      <w:pPr>
        <w:pStyle w:val="Kein Leerraum"/>
        <w:ind w:left="708" w:firstLine="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Diese sind namentlich zu nennen und 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gegen Unterschrift ihre Teilnahme an der jeweiligen Veranstaltung best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tigen</w:t>
      </w:r>
    </w:p>
    <w:p>
      <w:pPr>
        <w:pStyle w:val="Kein Leerraum"/>
        <w:ind w:left="708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Mitgenommene Personen m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Vereinsmitglieder sein.</w:t>
      </w: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Kein Leerraum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Tagegeld nach den Vereinsrichtlinien wird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mehr als drei Stunden Abwesenheit mit 2,20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/h jedoch nur bis zu einem Maximalbetrag von 26,40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€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/d gezahlt. Dieses gilt ausschlie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Fortbildungen.</w:t>
      </w:r>
    </w:p>
    <w:p>
      <w:pPr>
        <w:pStyle w:val="Kein Leerraum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Von den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bernachtungskosten werden maximal 50% vom Verein nach Vorlage der Quittungen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bernommen.</w:t>
      </w:r>
    </w:p>
    <w:p>
      <w:pPr>
        <w:pStyle w:val="Kein Leerraum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Vor Beginn der Fahrt oder Dienstreise ist ein durch den Vorstand genehmigter Dienstreiseauftrag erforderlich.</w:t>
      </w:r>
    </w:p>
    <w:p>
      <w:pPr>
        <w:pStyle w:val="Kein Leerraum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Reisekostenabrechnung ist sp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testens 4 Wochen nach Durchf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hrung der Fahrt / Reise beim Vorstand abzurechnen. ( Ausnahme Ferienzeit )</w:t>
      </w:r>
    </w:p>
    <w:p>
      <w:pPr>
        <w:pStyle w:val="Kein Leerraum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Durchgef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hrte Fahrten f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eine Ma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nahme, welche sich 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mehrere Wochen erstreckt, k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komplett zum Ende der Ma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nahme abgerechnet werden.</w:t>
      </w:r>
    </w:p>
    <w:p>
      <w:pPr>
        <w:pStyle w:val="Kein Leerraum"/>
        <w:jc w:val="both"/>
        <w:rPr>
          <w:sz w:val="28"/>
          <w:szCs w:val="28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Alle Abteilungen k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unterhalb dieser Regelungen hantieren und eine individuelle Reisekostenverg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 erstellen.</w:t>
      </w:r>
    </w:p>
    <w:p>
      <w:pPr>
        <w:pStyle w:val="Kein Leerraum"/>
        <w:jc w:val="both"/>
        <w:rPr>
          <w:sz w:val="28"/>
          <w:szCs w:val="28"/>
        </w:rPr>
      </w:pPr>
    </w:p>
    <w:p>
      <w:pPr>
        <w:pStyle w:val="Kein Leerraum"/>
        <w:jc w:val="both"/>
      </w:pPr>
      <w:r>
        <w:rPr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Vorstand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ein Leerraum">
    <w:name w:val="Kein Leerraum"/>
    <w:next w:val="Kein Leerrau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